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38B" w:rsidRPr="00C929A5" w:rsidRDefault="00C1138B" w:rsidP="00C1138B">
      <w:pPr>
        <w:spacing w:after="0" w:line="240" w:lineRule="auto"/>
        <w:jc w:val="both"/>
        <w:rPr>
          <w:rFonts w:ascii="Elephant" w:hAnsi="Elephant"/>
          <w:b/>
          <w:sz w:val="28"/>
          <w:szCs w:val="28"/>
        </w:rPr>
      </w:pPr>
      <w:r>
        <w:rPr>
          <w:rFonts w:ascii="Elephant" w:hAnsi="Elephant"/>
          <w:b/>
          <w:sz w:val="28"/>
          <w:szCs w:val="28"/>
        </w:rPr>
        <w:t>AL-</w:t>
      </w:r>
      <w:r w:rsidR="00245A2C">
        <w:rPr>
          <w:rFonts w:ascii="Elephant" w:hAnsi="Elephant"/>
          <w:b/>
          <w:sz w:val="28"/>
          <w:szCs w:val="28"/>
        </w:rPr>
        <w:t xml:space="preserve">HAQ </w:t>
      </w:r>
      <w:r w:rsidR="00245A2C" w:rsidRPr="00C929A5">
        <w:rPr>
          <w:rFonts w:ascii="Elephant" w:hAnsi="Elephant"/>
          <w:b/>
          <w:sz w:val="28"/>
          <w:szCs w:val="28"/>
        </w:rPr>
        <w:t>Securities</w:t>
      </w:r>
      <w:r w:rsidRPr="00C929A5">
        <w:rPr>
          <w:rFonts w:ascii="Elephant" w:hAnsi="Elephant"/>
          <w:b/>
          <w:sz w:val="28"/>
          <w:szCs w:val="28"/>
        </w:rPr>
        <w:t xml:space="preserve"> (Pvt</w:t>
      </w:r>
      <w:r w:rsidR="00AF48F9">
        <w:rPr>
          <w:rFonts w:ascii="Elephant" w:hAnsi="Elephant"/>
          <w:b/>
          <w:sz w:val="28"/>
          <w:szCs w:val="28"/>
        </w:rPr>
        <w:t>.</w:t>
      </w:r>
      <w:r w:rsidRPr="00C929A5">
        <w:rPr>
          <w:rFonts w:ascii="Elephant" w:hAnsi="Elephant"/>
          <w:b/>
          <w:sz w:val="28"/>
          <w:szCs w:val="28"/>
        </w:rPr>
        <w:t>) Ltd.</w:t>
      </w:r>
    </w:p>
    <w:p w:rsidR="00C1138B" w:rsidRPr="00146A3D" w:rsidRDefault="00C1138B" w:rsidP="00146A3D">
      <w:pPr>
        <w:spacing w:after="0" w:line="240" w:lineRule="auto"/>
        <w:jc w:val="both"/>
        <w:rPr>
          <w:rFonts w:ascii="Bradley Hand ITC" w:hAnsi="Bradley Hand ITC"/>
          <w:b/>
          <w:sz w:val="24"/>
          <w:szCs w:val="24"/>
          <w:u w:val="single"/>
        </w:rPr>
      </w:pPr>
      <w:r w:rsidRPr="006D59AD">
        <w:rPr>
          <w:rFonts w:ascii="Bradley Hand ITC" w:hAnsi="Bradley Hand ITC"/>
          <w:b/>
          <w:sz w:val="24"/>
          <w:szCs w:val="24"/>
          <w:u w:val="single"/>
        </w:rPr>
        <w:t>KYC &amp; CDD Policies and Procedures</w:t>
      </w:r>
    </w:p>
    <w:p w:rsidR="00146A3D" w:rsidRDefault="00146A3D" w:rsidP="00C1138B">
      <w:pPr>
        <w:jc w:val="both"/>
        <w:rPr>
          <w:rFonts w:ascii="Times New Roman" w:hAnsi="Times New Roman" w:cs="Times New Roman"/>
          <w:b/>
          <w:u w:val="double"/>
        </w:rPr>
      </w:pPr>
      <w:bookmarkStart w:id="0" w:name="_GoBack"/>
      <w:bookmarkEnd w:id="0"/>
    </w:p>
    <w:p w:rsidR="00C1138B" w:rsidRPr="001E6790" w:rsidRDefault="00C1138B" w:rsidP="00C1138B">
      <w:pPr>
        <w:jc w:val="both"/>
        <w:rPr>
          <w:rFonts w:ascii="Times New Roman" w:hAnsi="Times New Roman" w:cs="Times New Roman"/>
          <w:b/>
          <w:u w:val="double"/>
        </w:rPr>
      </w:pPr>
      <w:r w:rsidRPr="001E6790">
        <w:rPr>
          <w:rFonts w:ascii="Times New Roman" w:hAnsi="Times New Roman" w:cs="Times New Roman"/>
          <w:b/>
          <w:u w:val="double"/>
        </w:rPr>
        <w:t xml:space="preserve">Areas of Coverage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Following key Areas has been covered: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a. Customer Identification </w:t>
      </w:r>
    </w:p>
    <w:p w:rsidR="00C1138B" w:rsidRPr="001E6790" w:rsidRDefault="00C1138B" w:rsidP="00C1138B">
      <w:pPr>
        <w:spacing w:after="0" w:line="240" w:lineRule="auto"/>
        <w:jc w:val="both"/>
        <w:rPr>
          <w:rFonts w:ascii="Times New Roman" w:hAnsi="Times New Roman" w:cs="Times New Roman"/>
        </w:rPr>
      </w:pPr>
      <w:r w:rsidRPr="001E6790">
        <w:rPr>
          <w:rFonts w:ascii="Times New Roman" w:hAnsi="Times New Roman" w:cs="Times New Roman"/>
        </w:rPr>
        <w:t xml:space="preserve">b. Risk assessment of customer </w:t>
      </w:r>
    </w:p>
    <w:p w:rsidR="00C1138B" w:rsidRPr="001E6790" w:rsidRDefault="00C1138B" w:rsidP="00C1138B">
      <w:pPr>
        <w:spacing w:after="0" w:line="240" w:lineRule="auto"/>
        <w:jc w:val="both"/>
        <w:rPr>
          <w:rFonts w:ascii="Times New Roman" w:hAnsi="Times New Roman" w:cs="Times New Roman"/>
        </w:rPr>
      </w:pPr>
      <w:r w:rsidRPr="001E6790">
        <w:rPr>
          <w:rFonts w:ascii="Times New Roman" w:hAnsi="Times New Roman" w:cs="Times New Roman"/>
        </w:rPr>
        <w:t xml:space="preserve">c. Circumstances where Enhanced Due Diligence is required </w:t>
      </w:r>
    </w:p>
    <w:p w:rsidR="00C1138B" w:rsidRPr="001E6790" w:rsidRDefault="00C1138B" w:rsidP="00C1138B">
      <w:pPr>
        <w:spacing w:after="0" w:line="240" w:lineRule="auto"/>
        <w:jc w:val="both"/>
        <w:rPr>
          <w:rFonts w:ascii="Times New Roman" w:hAnsi="Times New Roman" w:cs="Times New Roman"/>
        </w:rPr>
      </w:pPr>
      <w:r w:rsidRPr="001E6790">
        <w:rPr>
          <w:rFonts w:ascii="Times New Roman" w:hAnsi="Times New Roman" w:cs="Times New Roman"/>
        </w:rPr>
        <w:t xml:space="preserve">d. On-going due Diligence </w:t>
      </w:r>
    </w:p>
    <w:p w:rsidR="00C1138B" w:rsidRPr="001E6790" w:rsidRDefault="00C1138B" w:rsidP="00C1138B">
      <w:pPr>
        <w:spacing w:after="0" w:line="240" w:lineRule="auto"/>
        <w:jc w:val="both"/>
        <w:rPr>
          <w:rFonts w:ascii="Times New Roman" w:hAnsi="Times New Roman" w:cs="Times New Roman"/>
        </w:rPr>
      </w:pPr>
      <w:r w:rsidRPr="001E6790">
        <w:rPr>
          <w:rFonts w:ascii="Times New Roman" w:hAnsi="Times New Roman" w:cs="Times New Roman"/>
        </w:rPr>
        <w:t xml:space="preserve">e. Circumstances where simplified Due Diligence can be adopted </w:t>
      </w:r>
    </w:p>
    <w:p w:rsidR="00C1138B" w:rsidRPr="001E6790" w:rsidRDefault="00C1138B" w:rsidP="00C1138B">
      <w:pPr>
        <w:spacing w:after="0" w:line="240" w:lineRule="auto"/>
        <w:jc w:val="both"/>
        <w:rPr>
          <w:rFonts w:ascii="Times New Roman" w:hAnsi="Times New Roman" w:cs="Times New Roman"/>
        </w:rPr>
      </w:pPr>
      <w:r w:rsidRPr="001E6790">
        <w:rPr>
          <w:rFonts w:ascii="Times New Roman" w:hAnsi="Times New Roman" w:cs="Times New Roman"/>
        </w:rPr>
        <w:t xml:space="preserve">f. Compliance function </w:t>
      </w:r>
    </w:p>
    <w:p w:rsidR="00C1138B" w:rsidRPr="001E6790" w:rsidRDefault="00C1138B" w:rsidP="00C1138B">
      <w:pPr>
        <w:spacing w:after="0" w:line="240" w:lineRule="auto"/>
        <w:jc w:val="both"/>
        <w:rPr>
          <w:rFonts w:ascii="Times New Roman" w:hAnsi="Times New Roman" w:cs="Times New Roman"/>
        </w:rPr>
      </w:pPr>
      <w:r w:rsidRPr="001E6790">
        <w:rPr>
          <w:rFonts w:ascii="Times New Roman" w:hAnsi="Times New Roman" w:cs="Times New Roman"/>
        </w:rPr>
        <w:t xml:space="preserve">g. Data retention </w:t>
      </w:r>
    </w:p>
    <w:p w:rsidR="00C1138B" w:rsidRPr="001E6790" w:rsidRDefault="00C1138B" w:rsidP="00C1138B">
      <w:pPr>
        <w:spacing w:after="0" w:line="240" w:lineRule="auto"/>
        <w:jc w:val="both"/>
        <w:rPr>
          <w:rFonts w:ascii="Times New Roman" w:hAnsi="Times New Roman" w:cs="Times New Roman"/>
        </w:rPr>
      </w:pPr>
      <w:r w:rsidRPr="001E6790">
        <w:rPr>
          <w:rFonts w:ascii="Times New Roman" w:hAnsi="Times New Roman" w:cs="Times New Roman"/>
        </w:rPr>
        <w:t>h. Training and employee screening</w:t>
      </w:r>
    </w:p>
    <w:p w:rsidR="00C1138B" w:rsidRPr="001E6790" w:rsidRDefault="00C1138B" w:rsidP="00C1138B">
      <w:pPr>
        <w:spacing w:after="0" w:line="240" w:lineRule="auto"/>
        <w:jc w:val="both"/>
        <w:rPr>
          <w:rFonts w:ascii="Times New Roman" w:hAnsi="Times New Roman" w:cs="Times New Roman"/>
        </w:rPr>
      </w:pPr>
      <w:r w:rsidRPr="001E6790">
        <w:rPr>
          <w:rFonts w:ascii="Times New Roman" w:hAnsi="Times New Roman" w:cs="Times New Roman"/>
        </w:rPr>
        <w:t xml:space="preserve"> </w:t>
      </w:r>
    </w:p>
    <w:p w:rsidR="00C1138B" w:rsidRPr="001E6790" w:rsidRDefault="00C1138B" w:rsidP="00C1138B">
      <w:pPr>
        <w:jc w:val="both"/>
        <w:rPr>
          <w:rFonts w:ascii="Times New Roman" w:hAnsi="Times New Roman" w:cs="Times New Roman"/>
          <w:b/>
          <w:u w:val="single"/>
        </w:rPr>
      </w:pPr>
      <w:r w:rsidRPr="001E6790">
        <w:rPr>
          <w:rFonts w:ascii="Times New Roman" w:hAnsi="Times New Roman" w:cs="Times New Roman"/>
          <w:b/>
          <w:u w:val="single"/>
        </w:rPr>
        <w:t xml:space="preserve">a. Customer Identification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 Customer identification is very important that will protect our company from being used by unscrupulous and/or criminal elements. In this respect minimum documents/information as prescribed by SECP must be obtained from customers at the time of opening of accounts. Further, any additional document/information may be obtained on case to case basis where considered necessary. The key point is that anonymous or obviously fictitious accounts should not be opened.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 In case a customer is acting on behalf of another person, then identity of that person shall be ascertained and relevant documents/information of that person need to be obtained also.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 For non-individual customers (e.g. companies, pension funds, government owned entities, non-profit organizations, foreign companies/organizations) additional care shall be taken to establish the ownership and control structure of such an organization and who (i.e. person(s)) actually owns the organization and who manages it. It shall be verified that the person who represents himself as authorized signatory with powers to open and operate the account is actually authorized by the organization.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 For individual customers, proper authorization shall be obtained from person authorized to act on behalf of the customer.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 It shall be ensured that accounts of Institutions/organizations/corporate bodies are not opened in the individual name(s) of employee(s)/official(s). Because of sensitive nature of public sector (government) entities and risk of potential conflict of interest, these accounts shall not be opened in the individual name of any employee/official. Any such account, which is to be operated by an officer of a govt. owned entity, is to be operated by an officer of the Federal/Provincial/Local Government in his/her official capacity, </w:t>
      </w:r>
      <w:r w:rsidRPr="001E6790">
        <w:rPr>
          <w:rFonts w:ascii="Times New Roman" w:hAnsi="Times New Roman" w:cs="Times New Roman"/>
        </w:rPr>
        <w:lastRenderedPageBreak/>
        <w:t>shall be opened only on production of a special</w:t>
      </w:r>
      <w:r>
        <w:t xml:space="preserve"> </w:t>
      </w:r>
      <w:r w:rsidRPr="001E6790">
        <w:rPr>
          <w:rFonts w:ascii="Times New Roman" w:hAnsi="Times New Roman" w:cs="Times New Roman"/>
        </w:rPr>
        <w:t xml:space="preserve">resolution/authority from the concerned administrative department, duly endorsed by the Ministry of Finance or Finance Department of the concerned Provincial or Local Government.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 Sufficient information shall be obtained and documented on the purpose and intended nature of account to be opened and a profile shall be developed based on results of customer identification and the risk assessment. Information regarding intended investment plan of the customer must also be obtained to the extent possible and should be documented.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 Sufficient information shall be obtained to determine the expected source of funding for the account, particularly whether the customer shall receiving/remitting funds in foreign currency.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 It must be ensured that all receipts and payments to the customers above the prescribed threshold (i.e. Rs. 25,000/-) are made through cross cheques, bank drafts, pay orders or other crossed banking instruments. For exceptional circumstances where it shall become necessary to accept cash from a customer, reporting of such instances with rationale should be made immediately to the exchanges.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 Physical presence of the customer at the time of opening of account is necessary. In case of off-shore customers or customers in cities where no branch exist, appropriate procedures must be applied to ensure the identification of customer (e.g. third party verification, references etc.). When obtaining confirmation from the third parties in different jurisdictions, it must be considered whether that jurisdiction is following the FATF recommendations. </w:t>
      </w:r>
    </w:p>
    <w:p w:rsidR="00C1138B" w:rsidRPr="001E6790" w:rsidRDefault="00C1138B" w:rsidP="00C1138B">
      <w:pPr>
        <w:jc w:val="both"/>
        <w:rPr>
          <w:rFonts w:ascii="Times New Roman" w:hAnsi="Times New Roman" w:cs="Times New Roman"/>
          <w:b/>
          <w:u w:val="single"/>
        </w:rPr>
      </w:pPr>
      <w:r w:rsidRPr="001E6790">
        <w:rPr>
          <w:rFonts w:ascii="Times New Roman" w:hAnsi="Times New Roman" w:cs="Times New Roman"/>
          <w:b/>
          <w:u w:val="single"/>
        </w:rPr>
        <w:t xml:space="preserve">b. Customer Identification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 Risk assessment must be performed of all the existing and prospective customers on the basis of information obtained regarding their identity, nature of income, source of funding, location etc. and based on the results of such assessment, categorize customers among high risk, medium risk and low risk customers.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Following are general broad outline of factors that will categorize the customers into high risk category:</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 non-resident customers;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 legal persons or arrangements including non-governmental organizations; (NGOs)/not-for-profit organizations (NPOs) and trusts/ charities;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 customers belonging to countries where CDD / KYC and anti-money laundering regulations are lax or if funds originate or go to those countries;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 customers whose business or activities present a higher risk of money laundering such as cash based businesses;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lastRenderedPageBreak/>
        <w:t xml:space="preserve">• customers with links to offshore tax havens;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 high net worth customers with no clearly identifiable source of income;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 there is reason to believe that the customer has been refused brokerage services by another brokerage house;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 Non-face-to-face / on-line customers; </w:t>
      </w:r>
    </w:p>
    <w:p w:rsidR="00C1138B" w:rsidRPr="002A5E0B" w:rsidRDefault="00C1138B" w:rsidP="00C1138B">
      <w:pPr>
        <w:jc w:val="both"/>
        <w:rPr>
          <w:rFonts w:ascii="Times New Roman" w:hAnsi="Times New Roman" w:cs="Times New Roman"/>
        </w:rPr>
      </w:pPr>
      <w:r w:rsidRPr="002A5E0B">
        <w:rPr>
          <w:rFonts w:ascii="Times New Roman" w:hAnsi="Times New Roman" w:cs="Times New Roman"/>
        </w:rPr>
        <w:t xml:space="preserve">• establishing business relationship or transactions with counterparts from or in countries not sufficiently applying FATF recommendations; and </w:t>
      </w:r>
    </w:p>
    <w:p w:rsidR="00C1138B" w:rsidRPr="002A5E0B" w:rsidRDefault="00C1138B" w:rsidP="00C1138B">
      <w:pPr>
        <w:jc w:val="both"/>
        <w:rPr>
          <w:rFonts w:ascii="Times New Roman" w:hAnsi="Times New Roman" w:cs="Times New Roman"/>
        </w:rPr>
      </w:pPr>
      <w:r w:rsidRPr="002A5E0B">
        <w:rPr>
          <w:rFonts w:ascii="Times New Roman" w:hAnsi="Times New Roman" w:cs="Times New Roman"/>
        </w:rPr>
        <w:t xml:space="preserve">• Politically Exposed Persons (PEPs) or customers holding public or high profile positions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Politically Exposed Persons (PEPs) are individuals who are or have been entrusted with prominent public functions for example senior politicians, senior government, judicial or military officials, senior executives of state owned corporations, important political party officials. Business relationships with family members or close associates of PEPs involve reputational risks similar to those with PEPs themselves. The definition is not intended to cover middle ranking or more junior individuals in the foregoing categories.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 Self assessment shall be conducted for money laundering and terrorist financing risk, identifying and documenting the key risks presented by virtue of company’s business model, types of customers and geographical placement on case to case basis. </w:t>
      </w:r>
    </w:p>
    <w:p w:rsidR="00C1138B" w:rsidRPr="001E6790" w:rsidRDefault="00C1138B" w:rsidP="00C1138B">
      <w:pPr>
        <w:jc w:val="both"/>
        <w:rPr>
          <w:rFonts w:ascii="Times New Roman" w:hAnsi="Times New Roman" w:cs="Times New Roman"/>
          <w:b/>
          <w:u w:val="single"/>
        </w:rPr>
      </w:pPr>
      <w:r w:rsidRPr="001E6790">
        <w:rPr>
          <w:rFonts w:ascii="Times New Roman" w:hAnsi="Times New Roman" w:cs="Times New Roman"/>
          <w:b/>
          <w:u w:val="single"/>
        </w:rPr>
        <w:t xml:space="preserve">c. Enhanced Due Diligence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 Once a customer has been categorized as HIGH RISK, it is necessary to have Enhanced Due Diligence (EDD) when dealing with such a customer. Activities and transactions of HIGH RISK customers shall be monitored and any unusual transactions shall be reported in suspicious transaction report.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 When dealing with high-risk customers, including Politically Exposed Persons (PEP’s), senior management’ approval shall be obtained to establish business relationships with such customers. The same shall also apply in case of an existing customer which will be classified as high-risk pursuant to these policies or which will be subsequently classified as a result of ongoing due diligence. Further, reasonable measures shall be taken to establish the source of wealth and source of funds.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 If it will be not possible to comply with the above requirements, account shall not be opened or business relationship shall be terminated, as the case may be and suspicious transaction report shall be submitted.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 When it will be not possible to identify and verify the identity of the customer and the beneficial owner or will be not possible to obtain adequate information regarding the purpose and intended nature of the customer relationship, account shall not be opened, customer relationship shall not be commenced or in </w:t>
      </w:r>
      <w:r w:rsidRPr="001E6790">
        <w:rPr>
          <w:rFonts w:ascii="Times New Roman" w:hAnsi="Times New Roman" w:cs="Times New Roman"/>
        </w:rPr>
        <w:lastRenderedPageBreak/>
        <w:t xml:space="preserve">the case of an existing customer relationship shall be terminated and filing of a Suspicious Transaction Report shall be considered. </w:t>
      </w:r>
    </w:p>
    <w:p w:rsidR="00C1138B" w:rsidRPr="001E6790" w:rsidRDefault="00C1138B" w:rsidP="00C1138B">
      <w:pPr>
        <w:jc w:val="both"/>
        <w:rPr>
          <w:rFonts w:ascii="Times New Roman" w:hAnsi="Times New Roman" w:cs="Times New Roman"/>
          <w:b/>
          <w:u w:val="single"/>
        </w:rPr>
      </w:pPr>
      <w:r w:rsidRPr="001E6790">
        <w:rPr>
          <w:rFonts w:ascii="Times New Roman" w:hAnsi="Times New Roman" w:cs="Times New Roman"/>
          <w:b/>
          <w:u w:val="single"/>
        </w:rPr>
        <w:t xml:space="preserve">d. On-Going Due Diligence </w:t>
      </w:r>
    </w:p>
    <w:p w:rsidR="00C1138B" w:rsidRPr="001E6790" w:rsidRDefault="00C1138B" w:rsidP="00C1138B">
      <w:pPr>
        <w:jc w:val="both"/>
        <w:rPr>
          <w:rFonts w:ascii="Times New Roman" w:hAnsi="Times New Roman" w:cs="Times New Roman"/>
        </w:rPr>
      </w:pPr>
      <w:r w:rsidRPr="001E6790">
        <w:rPr>
          <w:rFonts w:ascii="Times New Roman" w:hAnsi="Times New Roman" w:cs="Times New Roman"/>
        </w:rPr>
        <w:t xml:space="preserve">• It shall be ensured that on-going Due Diligence on the customer relationship and scrutiny of transactions is undertaken to ensure that the transactions executed in a particular account are consistent with the company’s knowledge of the customer, its business and risk profile, historical pattern of transactions and the pattern and source of funding of the account. </w:t>
      </w:r>
    </w:p>
    <w:p w:rsidR="00C1138B" w:rsidRPr="00146A3D" w:rsidRDefault="00C1138B" w:rsidP="00C1138B">
      <w:pPr>
        <w:jc w:val="both"/>
        <w:rPr>
          <w:rFonts w:ascii="Times New Roman" w:hAnsi="Times New Roman" w:cs="Times New Roman"/>
        </w:rPr>
      </w:pPr>
      <w:r w:rsidRPr="001E6790">
        <w:rPr>
          <w:rFonts w:ascii="Times New Roman" w:hAnsi="Times New Roman" w:cs="Times New Roman"/>
        </w:rPr>
        <w:t>• It shall be ensured that the customers’ records are updated at regular intervals and sufficient information is obtained regarding any significant change in the customers’ profiles.</w:t>
      </w:r>
    </w:p>
    <w:p w:rsidR="00C1138B" w:rsidRPr="00AB5EAF" w:rsidRDefault="00C1138B" w:rsidP="00C1138B">
      <w:pPr>
        <w:jc w:val="both"/>
        <w:rPr>
          <w:b/>
          <w:u w:val="single"/>
        </w:rPr>
      </w:pPr>
      <w:r w:rsidRPr="00AB5EAF">
        <w:rPr>
          <w:b/>
          <w:u w:val="single"/>
        </w:rPr>
        <w:t xml:space="preserve">e. Simplified Due Diligence </w:t>
      </w:r>
    </w:p>
    <w:p w:rsidR="00C1138B" w:rsidRPr="002A5E0B" w:rsidRDefault="00C1138B" w:rsidP="00C1138B">
      <w:pPr>
        <w:jc w:val="both"/>
        <w:rPr>
          <w:rFonts w:ascii="Times New Roman" w:hAnsi="Times New Roman" w:cs="Times New Roman"/>
        </w:rPr>
      </w:pPr>
      <w:r w:rsidRPr="002A5E0B">
        <w:rPr>
          <w:rFonts w:ascii="Times New Roman" w:hAnsi="Times New Roman" w:cs="Times New Roman"/>
        </w:rPr>
        <w:t xml:space="preserve">• CDD measures shall be simplified or reduced in the following circumstances: </w:t>
      </w:r>
    </w:p>
    <w:p w:rsidR="00C1138B" w:rsidRPr="002A5E0B" w:rsidRDefault="00C1138B" w:rsidP="00C1138B">
      <w:pPr>
        <w:spacing w:after="0" w:line="240" w:lineRule="auto"/>
        <w:jc w:val="both"/>
        <w:rPr>
          <w:rFonts w:ascii="Times New Roman" w:hAnsi="Times New Roman" w:cs="Times New Roman"/>
        </w:rPr>
      </w:pPr>
      <w:r w:rsidRPr="002A5E0B">
        <w:rPr>
          <w:rFonts w:ascii="Times New Roman" w:hAnsi="Times New Roman" w:cs="Times New Roman"/>
        </w:rPr>
        <w:tab/>
        <w:t xml:space="preserve">• risk of money laundering or terrorist financing is lower </w:t>
      </w:r>
    </w:p>
    <w:p w:rsidR="00C1138B" w:rsidRPr="002A5E0B" w:rsidRDefault="00C1138B" w:rsidP="00C1138B">
      <w:pPr>
        <w:spacing w:after="0" w:line="240" w:lineRule="auto"/>
        <w:jc w:val="both"/>
        <w:rPr>
          <w:rFonts w:ascii="Times New Roman" w:hAnsi="Times New Roman" w:cs="Times New Roman"/>
        </w:rPr>
      </w:pPr>
      <w:r w:rsidRPr="002A5E0B">
        <w:rPr>
          <w:rFonts w:ascii="Times New Roman" w:hAnsi="Times New Roman" w:cs="Times New Roman"/>
        </w:rPr>
        <w:tab/>
        <w:t xml:space="preserve">• </w:t>
      </w:r>
      <w:r w:rsidR="00146A3D" w:rsidRPr="002A5E0B">
        <w:rPr>
          <w:rFonts w:ascii="Times New Roman" w:hAnsi="Times New Roman" w:cs="Times New Roman"/>
        </w:rPr>
        <w:t>Information</w:t>
      </w:r>
      <w:r w:rsidRPr="002A5E0B">
        <w:rPr>
          <w:rFonts w:ascii="Times New Roman" w:hAnsi="Times New Roman" w:cs="Times New Roman"/>
        </w:rPr>
        <w:t xml:space="preserve"> on the identity of the customer and the beneficial owner of a customer is publicly </w:t>
      </w:r>
      <w:r w:rsidRPr="002A5E0B">
        <w:rPr>
          <w:rFonts w:ascii="Times New Roman" w:hAnsi="Times New Roman" w:cs="Times New Roman"/>
        </w:rPr>
        <w:tab/>
        <w:t xml:space="preserve">available </w:t>
      </w:r>
    </w:p>
    <w:p w:rsidR="00C1138B" w:rsidRPr="002A5E0B" w:rsidRDefault="00C1138B" w:rsidP="00C1138B">
      <w:pPr>
        <w:spacing w:after="0" w:line="240" w:lineRule="auto"/>
        <w:jc w:val="both"/>
        <w:rPr>
          <w:rFonts w:ascii="Times New Roman" w:hAnsi="Times New Roman" w:cs="Times New Roman"/>
        </w:rPr>
      </w:pPr>
      <w:r w:rsidRPr="002A5E0B">
        <w:rPr>
          <w:rFonts w:ascii="Times New Roman" w:hAnsi="Times New Roman" w:cs="Times New Roman"/>
        </w:rPr>
        <w:tab/>
        <w:t>• adequate checks and controls exist</w:t>
      </w:r>
    </w:p>
    <w:p w:rsidR="00C1138B" w:rsidRPr="002A5E0B" w:rsidRDefault="00C1138B" w:rsidP="00C1138B">
      <w:pPr>
        <w:spacing w:after="0" w:line="240" w:lineRule="auto"/>
        <w:jc w:val="both"/>
        <w:rPr>
          <w:rFonts w:ascii="Times New Roman" w:hAnsi="Times New Roman" w:cs="Times New Roman"/>
        </w:rPr>
      </w:pPr>
      <w:r w:rsidRPr="002A5E0B">
        <w:rPr>
          <w:rFonts w:ascii="Times New Roman" w:hAnsi="Times New Roman" w:cs="Times New Roman"/>
        </w:rPr>
        <w:t xml:space="preserve"> </w:t>
      </w:r>
    </w:p>
    <w:p w:rsidR="00C1138B" w:rsidRPr="002A5E0B" w:rsidRDefault="00C1138B" w:rsidP="00C1138B">
      <w:pPr>
        <w:jc w:val="both"/>
        <w:rPr>
          <w:rFonts w:ascii="Times New Roman" w:hAnsi="Times New Roman" w:cs="Times New Roman"/>
        </w:rPr>
      </w:pPr>
      <w:r w:rsidRPr="002A5E0B">
        <w:rPr>
          <w:rFonts w:ascii="Times New Roman" w:hAnsi="Times New Roman" w:cs="Times New Roman"/>
        </w:rPr>
        <w:t xml:space="preserve">• Following customers may be considered for simplified or reduced CDD: </w:t>
      </w:r>
    </w:p>
    <w:p w:rsidR="00C1138B" w:rsidRPr="002A5E0B" w:rsidRDefault="00C1138B" w:rsidP="00C1138B">
      <w:pPr>
        <w:spacing w:after="0" w:line="240" w:lineRule="auto"/>
        <w:jc w:val="both"/>
        <w:rPr>
          <w:rFonts w:ascii="Times New Roman" w:hAnsi="Times New Roman" w:cs="Times New Roman"/>
        </w:rPr>
      </w:pPr>
      <w:r w:rsidRPr="002A5E0B">
        <w:rPr>
          <w:rFonts w:ascii="Times New Roman" w:hAnsi="Times New Roman" w:cs="Times New Roman"/>
        </w:rPr>
        <w:tab/>
        <w:t xml:space="preserve">• Financial institutions which are subject to requirements to combat money laundering and </w:t>
      </w:r>
      <w:r w:rsidRPr="002A5E0B">
        <w:rPr>
          <w:rFonts w:ascii="Times New Roman" w:hAnsi="Times New Roman" w:cs="Times New Roman"/>
        </w:rPr>
        <w:tab/>
        <w:t xml:space="preserve">terrorist financing consistent with the FATF Recommendations and are supervised for </w:t>
      </w:r>
      <w:r w:rsidRPr="002A5E0B">
        <w:rPr>
          <w:rFonts w:ascii="Times New Roman" w:hAnsi="Times New Roman" w:cs="Times New Roman"/>
        </w:rPr>
        <w:tab/>
        <w:t xml:space="preserve">compliance with those controls </w:t>
      </w:r>
    </w:p>
    <w:p w:rsidR="00C1138B" w:rsidRPr="002A5E0B" w:rsidRDefault="00C1138B" w:rsidP="00C1138B">
      <w:pPr>
        <w:spacing w:after="0" w:line="240" w:lineRule="auto"/>
        <w:jc w:val="both"/>
        <w:rPr>
          <w:rFonts w:ascii="Times New Roman" w:hAnsi="Times New Roman" w:cs="Times New Roman"/>
        </w:rPr>
      </w:pPr>
      <w:r w:rsidRPr="002A5E0B">
        <w:rPr>
          <w:rFonts w:ascii="Times New Roman" w:hAnsi="Times New Roman" w:cs="Times New Roman"/>
        </w:rPr>
        <w:tab/>
        <w:t xml:space="preserve">• Public companies that are subject to regulatory disclosure requirements </w:t>
      </w:r>
    </w:p>
    <w:p w:rsidR="00C1138B" w:rsidRPr="002A5E0B" w:rsidRDefault="00C1138B" w:rsidP="00C1138B">
      <w:pPr>
        <w:spacing w:after="0" w:line="240" w:lineRule="auto"/>
        <w:jc w:val="both"/>
        <w:rPr>
          <w:rFonts w:ascii="Times New Roman" w:hAnsi="Times New Roman" w:cs="Times New Roman"/>
        </w:rPr>
      </w:pPr>
      <w:r w:rsidRPr="002A5E0B">
        <w:rPr>
          <w:rFonts w:ascii="Times New Roman" w:hAnsi="Times New Roman" w:cs="Times New Roman"/>
        </w:rPr>
        <w:tab/>
        <w:t>• Government administrations or enterprises</w:t>
      </w:r>
    </w:p>
    <w:p w:rsidR="00C1138B" w:rsidRPr="002A5E0B" w:rsidRDefault="00C1138B" w:rsidP="00C1138B">
      <w:pPr>
        <w:spacing w:after="0" w:line="240" w:lineRule="auto"/>
        <w:jc w:val="both"/>
        <w:rPr>
          <w:rFonts w:ascii="Times New Roman" w:hAnsi="Times New Roman" w:cs="Times New Roman"/>
        </w:rPr>
      </w:pPr>
      <w:r w:rsidRPr="002A5E0B">
        <w:rPr>
          <w:rFonts w:ascii="Times New Roman" w:hAnsi="Times New Roman" w:cs="Times New Roman"/>
        </w:rPr>
        <w:t xml:space="preserve"> </w:t>
      </w:r>
    </w:p>
    <w:p w:rsidR="00C1138B" w:rsidRPr="002A5E0B" w:rsidRDefault="00C1138B" w:rsidP="00C1138B">
      <w:pPr>
        <w:jc w:val="both"/>
        <w:rPr>
          <w:rFonts w:ascii="Times New Roman" w:hAnsi="Times New Roman" w:cs="Times New Roman"/>
        </w:rPr>
      </w:pPr>
      <w:r w:rsidRPr="002A5E0B">
        <w:rPr>
          <w:rFonts w:ascii="Times New Roman" w:hAnsi="Times New Roman" w:cs="Times New Roman"/>
        </w:rPr>
        <w:t xml:space="preserve">• When opting for simplified or reduced due diligence, the FATF guidelines in this regard shall be consulted. Simplified CDD shall not be followed when there is an identified risk of money laundering or terrorist financing. </w:t>
      </w:r>
    </w:p>
    <w:p w:rsidR="00C1138B" w:rsidRPr="002A5E0B" w:rsidRDefault="00C1138B" w:rsidP="00C1138B">
      <w:pPr>
        <w:jc w:val="both"/>
        <w:rPr>
          <w:rFonts w:ascii="Times New Roman" w:hAnsi="Times New Roman" w:cs="Times New Roman"/>
          <w:b/>
          <w:u w:val="single"/>
        </w:rPr>
      </w:pPr>
      <w:r w:rsidRPr="002A5E0B">
        <w:rPr>
          <w:rFonts w:ascii="Times New Roman" w:hAnsi="Times New Roman" w:cs="Times New Roman"/>
          <w:b/>
          <w:u w:val="single"/>
        </w:rPr>
        <w:t xml:space="preserve">f. Compliance Function </w:t>
      </w:r>
    </w:p>
    <w:p w:rsidR="00C1138B" w:rsidRPr="002A5E0B" w:rsidRDefault="00C1138B" w:rsidP="00C1138B">
      <w:pPr>
        <w:jc w:val="both"/>
        <w:rPr>
          <w:rFonts w:ascii="Times New Roman" w:hAnsi="Times New Roman" w:cs="Times New Roman"/>
        </w:rPr>
      </w:pPr>
      <w:r w:rsidRPr="002A5E0B">
        <w:rPr>
          <w:rFonts w:ascii="Times New Roman" w:hAnsi="Times New Roman" w:cs="Times New Roman"/>
        </w:rPr>
        <w:t xml:space="preserve">• A compliance function shall be established with suitable human resource and MIS reporting capabilities, enabling it to effectively monitor the customers’ transactions and make timely reports. </w:t>
      </w:r>
    </w:p>
    <w:p w:rsidR="00C1138B" w:rsidRPr="002A5E0B" w:rsidRDefault="00C1138B" w:rsidP="00C1138B">
      <w:pPr>
        <w:jc w:val="both"/>
        <w:rPr>
          <w:rFonts w:ascii="Times New Roman" w:hAnsi="Times New Roman" w:cs="Times New Roman"/>
        </w:rPr>
      </w:pPr>
      <w:r w:rsidRPr="002A5E0B">
        <w:rPr>
          <w:rFonts w:ascii="Times New Roman" w:hAnsi="Times New Roman" w:cs="Times New Roman"/>
        </w:rPr>
        <w:t xml:space="preserve">• The Head of Compliance function shall have skills and experience necessary for satisfactory performance of functions assigned. Head of Compliance shall be independent and report directly to the Board of Directors. </w:t>
      </w:r>
    </w:p>
    <w:p w:rsidR="00C1138B" w:rsidRPr="002A5E0B" w:rsidRDefault="00C1138B" w:rsidP="00C1138B">
      <w:pPr>
        <w:jc w:val="both"/>
        <w:rPr>
          <w:rFonts w:ascii="Times New Roman" w:hAnsi="Times New Roman" w:cs="Times New Roman"/>
        </w:rPr>
      </w:pPr>
      <w:r w:rsidRPr="002A5E0B">
        <w:rPr>
          <w:rFonts w:ascii="Times New Roman" w:hAnsi="Times New Roman" w:cs="Times New Roman"/>
        </w:rPr>
        <w:lastRenderedPageBreak/>
        <w:t xml:space="preserve">• The Compliance function shall ensure compliance with the requirements of these policies as well as other regulatory requirements applicable under the relevant legal framework. A record shall be maintained of all violation/ non-compliance identified and reported to the BoD and must be available for the inspection of SECP as and when required. </w:t>
      </w:r>
    </w:p>
    <w:p w:rsidR="00C1138B" w:rsidRPr="002A5E0B" w:rsidRDefault="00C1138B" w:rsidP="00C1138B">
      <w:pPr>
        <w:jc w:val="both"/>
        <w:rPr>
          <w:rFonts w:ascii="Times New Roman" w:hAnsi="Times New Roman" w:cs="Times New Roman"/>
          <w:b/>
          <w:u w:val="single"/>
        </w:rPr>
      </w:pPr>
      <w:r w:rsidRPr="002A5E0B">
        <w:rPr>
          <w:rFonts w:ascii="Times New Roman" w:hAnsi="Times New Roman" w:cs="Times New Roman"/>
          <w:b/>
          <w:u w:val="single"/>
        </w:rPr>
        <w:t xml:space="preserve">g. Data Retention </w:t>
      </w:r>
    </w:p>
    <w:p w:rsidR="00C1138B" w:rsidRPr="002A5E0B" w:rsidRDefault="00C1138B" w:rsidP="00C1138B">
      <w:pPr>
        <w:jc w:val="both"/>
        <w:rPr>
          <w:rFonts w:ascii="Times New Roman" w:hAnsi="Times New Roman" w:cs="Times New Roman"/>
        </w:rPr>
      </w:pPr>
      <w:r w:rsidRPr="002A5E0B">
        <w:rPr>
          <w:rFonts w:ascii="Times New Roman" w:hAnsi="Times New Roman" w:cs="Times New Roman"/>
        </w:rPr>
        <w:t>• It shall be required to maintain the relevant documents obtained through the application of KYC/CDD procedures, especially those pertaining to identification of the identity of a customer, account files and correspondence exchanged for a minimum period of five years.</w:t>
      </w:r>
    </w:p>
    <w:p w:rsidR="00C1138B" w:rsidRPr="002A5E0B" w:rsidRDefault="00C1138B" w:rsidP="00C1138B">
      <w:pPr>
        <w:jc w:val="both"/>
        <w:rPr>
          <w:rFonts w:ascii="Times New Roman" w:hAnsi="Times New Roman" w:cs="Times New Roman"/>
          <w:b/>
        </w:rPr>
      </w:pPr>
      <w:r w:rsidRPr="002A5E0B">
        <w:rPr>
          <w:rFonts w:ascii="Times New Roman" w:hAnsi="Times New Roman" w:cs="Times New Roman"/>
          <w:b/>
        </w:rPr>
        <w:t xml:space="preserve"> h. Training and Employee Screening</w:t>
      </w:r>
    </w:p>
    <w:p w:rsidR="00C1138B" w:rsidRPr="002A5E0B" w:rsidRDefault="00C1138B" w:rsidP="00C1138B">
      <w:pPr>
        <w:jc w:val="both"/>
        <w:rPr>
          <w:rFonts w:ascii="Times New Roman" w:hAnsi="Times New Roman" w:cs="Times New Roman"/>
        </w:rPr>
      </w:pPr>
      <w:r w:rsidRPr="002A5E0B">
        <w:rPr>
          <w:rFonts w:ascii="Times New Roman" w:hAnsi="Times New Roman" w:cs="Times New Roman"/>
        </w:rPr>
        <w:t xml:space="preserve">• Appropriate on-going employee training program and knowledge refreshment shall be arranged to ensure that the employees understand their duties and are able to perform the same on a satisfactory level. </w:t>
      </w:r>
    </w:p>
    <w:p w:rsidR="00C1138B" w:rsidRPr="002A5E0B" w:rsidRDefault="00C1138B" w:rsidP="00C1138B">
      <w:pPr>
        <w:jc w:val="both"/>
        <w:rPr>
          <w:rFonts w:ascii="Times New Roman" w:hAnsi="Times New Roman" w:cs="Times New Roman"/>
        </w:rPr>
      </w:pPr>
      <w:r w:rsidRPr="002A5E0B">
        <w:rPr>
          <w:rFonts w:ascii="Times New Roman" w:hAnsi="Times New Roman" w:cs="Times New Roman"/>
        </w:rPr>
        <w:t xml:space="preserve">• Staff shall be hired with extra care and all possible screening measures shall be taken including independent inquiries, information from previous employers/colleagues etc. Further, screening process shall be an on-going exercise and shall </w:t>
      </w:r>
      <w:r>
        <w:t xml:space="preserve">be </w:t>
      </w:r>
      <w:r w:rsidRPr="002A5E0B">
        <w:rPr>
          <w:rFonts w:ascii="Times New Roman" w:hAnsi="Times New Roman" w:cs="Times New Roman"/>
        </w:rPr>
        <w:t xml:space="preserve">applied consistently to ensure that employees, particularly those working at sensitive positions, meet and maintain high standards of integrity and professionalism. </w:t>
      </w:r>
    </w:p>
    <w:p w:rsidR="00C1138B" w:rsidRPr="002A5E0B" w:rsidRDefault="00C1138B" w:rsidP="00C1138B">
      <w:pPr>
        <w:jc w:val="both"/>
        <w:rPr>
          <w:rFonts w:ascii="Times New Roman" w:hAnsi="Times New Roman" w:cs="Times New Roman"/>
        </w:rPr>
      </w:pPr>
      <w:r w:rsidRPr="002A5E0B">
        <w:rPr>
          <w:rFonts w:ascii="Times New Roman" w:hAnsi="Times New Roman" w:cs="Times New Roman"/>
        </w:rPr>
        <w:t xml:space="preserve">• Any information concerning customers and their transactions shall be provided to the exchanges, Financial Monitoring Unit or the Commission as and when required. </w:t>
      </w:r>
    </w:p>
    <w:p w:rsidR="00C1138B" w:rsidRPr="002A5E0B" w:rsidRDefault="00C1138B" w:rsidP="00C1138B">
      <w:pPr>
        <w:jc w:val="both"/>
        <w:rPr>
          <w:rFonts w:ascii="Times New Roman" w:hAnsi="Times New Roman" w:cs="Times New Roman"/>
        </w:rPr>
      </w:pPr>
      <w:r w:rsidRPr="002A5E0B">
        <w:rPr>
          <w:rFonts w:ascii="Times New Roman" w:hAnsi="Times New Roman" w:cs="Times New Roman"/>
        </w:rPr>
        <w:t xml:space="preserve">All requirements of Anti Money Laundering Act, 2010 as applicable, including the requirement to file Suspicious Transaction Reports and any directives, circulars, guidelines issued in this regard by Federal Government, Financial Monitoring Unit and SECP shall be complied. </w:t>
      </w:r>
    </w:p>
    <w:p w:rsidR="00C1138B" w:rsidRPr="002A5E0B" w:rsidRDefault="00C1138B" w:rsidP="00C1138B">
      <w:pPr>
        <w:jc w:val="both"/>
        <w:rPr>
          <w:rFonts w:ascii="Times New Roman" w:hAnsi="Times New Roman" w:cs="Times New Roman"/>
        </w:rPr>
      </w:pPr>
      <w:r w:rsidRPr="002A5E0B">
        <w:rPr>
          <w:rFonts w:ascii="Times New Roman" w:hAnsi="Times New Roman" w:cs="Times New Roman"/>
        </w:rPr>
        <w:t xml:space="preserve">A checklist has been developed and annexed to these policies and procedures. Details of necessary documents, information and procedures required to be obtained/followed have been incorporated therein. Further, necessary documents/information required have also mentioned in relevant account opening forms and are not reproduced herein to avoid repetition. </w:t>
      </w:r>
    </w:p>
    <w:p w:rsidR="00C1138B" w:rsidRPr="00146A3D" w:rsidRDefault="00C1138B" w:rsidP="00C1138B">
      <w:pPr>
        <w:jc w:val="both"/>
        <w:rPr>
          <w:rFonts w:ascii="Times New Roman" w:hAnsi="Times New Roman" w:cs="Times New Roman"/>
        </w:rPr>
      </w:pPr>
      <w:r w:rsidRPr="002A5E0B">
        <w:rPr>
          <w:rFonts w:ascii="Times New Roman" w:hAnsi="Times New Roman" w:cs="Times New Roman"/>
        </w:rPr>
        <w:t>All relevant laws/regulations/recommendations/guidelines/directives of relevant authorities (e.g. SECP, FATF etc.) are available separately</w:t>
      </w:r>
    </w:p>
    <w:p w:rsidR="00146A3D" w:rsidRDefault="00146A3D" w:rsidP="00C1138B">
      <w:pPr>
        <w:jc w:val="both"/>
        <w:rPr>
          <w:rFonts w:ascii="Times New Roman" w:hAnsi="Times New Roman" w:cs="Times New Roman"/>
          <w:b/>
          <w:sz w:val="24"/>
          <w:u w:val="single"/>
        </w:rPr>
      </w:pPr>
    </w:p>
    <w:p w:rsidR="00146A3D" w:rsidRDefault="00146A3D" w:rsidP="00C1138B">
      <w:pPr>
        <w:jc w:val="both"/>
        <w:rPr>
          <w:rFonts w:ascii="Times New Roman" w:hAnsi="Times New Roman" w:cs="Times New Roman"/>
          <w:b/>
          <w:sz w:val="24"/>
          <w:u w:val="single"/>
        </w:rPr>
      </w:pPr>
    </w:p>
    <w:p w:rsidR="00146A3D" w:rsidRDefault="00146A3D" w:rsidP="00C1138B">
      <w:pPr>
        <w:jc w:val="both"/>
        <w:rPr>
          <w:rFonts w:ascii="Times New Roman" w:hAnsi="Times New Roman" w:cs="Times New Roman"/>
          <w:b/>
          <w:sz w:val="24"/>
          <w:u w:val="single"/>
        </w:rPr>
      </w:pPr>
    </w:p>
    <w:p w:rsidR="00146A3D" w:rsidRDefault="00146A3D" w:rsidP="00C1138B">
      <w:pPr>
        <w:jc w:val="both"/>
        <w:rPr>
          <w:rFonts w:ascii="Times New Roman" w:hAnsi="Times New Roman" w:cs="Times New Roman"/>
          <w:b/>
          <w:sz w:val="24"/>
          <w:u w:val="single"/>
        </w:rPr>
      </w:pPr>
    </w:p>
    <w:p w:rsidR="00146A3D" w:rsidRDefault="00146A3D" w:rsidP="00C1138B">
      <w:pPr>
        <w:jc w:val="both"/>
        <w:rPr>
          <w:rFonts w:ascii="Times New Roman" w:hAnsi="Times New Roman" w:cs="Times New Roman"/>
          <w:b/>
          <w:sz w:val="24"/>
          <w:u w:val="single"/>
        </w:rPr>
      </w:pPr>
    </w:p>
    <w:p w:rsidR="00146A3D" w:rsidRDefault="00146A3D" w:rsidP="00C1138B">
      <w:pPr>
        <w:jc w:val="both"/>
        <w:rPr>
          <w:rFonts w:ascii="Times New Roman" w:hAnsi="Times New Roman" w:cs="Times New Roman"/>
          <w:b/>
          <w:sz w:val="24"/>
          <w:u w:val="single"/>
        </w:rPr>
      </w:pPr>
    </w:p>
    <w:p w:rsidR="00C1138B" w:rsidRDefault="00C1138B" w:rsidP="00C1138B">
      <w:pPr>
        <w:jc w:val="both"/>
        <w:rPr>
          <w:rFonts w:ascii="Times New Roman" w:hAnsi="Times New Roman" w:cs="Times New Roman"/>
          <w:b/>
          <w:sz w:val="24"/>
          <w:u w:val="single"/>
        </w:rPr>
      </w:pPr>
      <w:r w:rsidRPr="002A5E0B">
        <w:rPr>
          <w:rFonts w:ascii="Times New Roman" w:hAnsi="Times New Roman" w:cs="Times New Roman"/>
          <w:b/>
          <w:sz w:val="24"/>
          <w:u w:val="single"/>
        </w:rPr>
        <w:t xml:space="preserve">AL-HAQ Securities (Pvt.) Limited </w:t>
      </w:r>
    </w:p>
    <w:p w:rsidR="00C1138B" w:rsidRDefault="00C1138B" w:rsidP="00C1138B">
      <w:pPr>
        <w:jc w:val="both"/>
        <w:rPr>
          <w:rFonts w:ascii="Times New Roman" w:hAnsi="Times New Roman" w:cs="Times New Roman"/>
          <w:b/>
          <w:sz w:val="24"/>
          <w:u w:val="single"/>
        </w:rPr>
      </w:pPr>
    </w:p>
    <w:p w:rsidR="00146A3D" w:rsidRDefault="00146A3D" w:rsidP="00C1138B">
      <w:pPr>
        <w:jc w:val="both"/>
        <w:rPr>
          <w:rFonts w:ascii="Times New Roman" w:hAnsi="Times New Roman" w:cs="Times New Roman"/>
          <w:b/>
          <w:sz w:val="24"/>
          <w:u w:val="single"/>
        </w:rPr>
      </w:pPr>
    </w:p>
    <w:p w:rsidR="00C1138B" w:rsidRDefault="00C1138B" w:rsidP="00C1138B">
      <w:pPr>
        <w:jc w:val="both"/>
        <w:rPr>
          <w:rFonts w:ascii="Times New Roman" w:hAnsi="Times New Roman" w:cs="Times New Roman"/>
          <w:sz w:val="24"/>
        </w:rPr>
      </w:pPr>
      <w:r w:rsidRPr="005768FE">
        <w:rPr>
          <w:rFonts w:ascii="Times New Roman" w:hAnsi="Times New Roman" w:cs="Times New Roman"/>
          <w:b/>
          <w:sz w:val="24"/>
          <w:u w:val="single"/>
        </w:rPr>
        <w:t>ASNAN-UL-HAQ</w:t>
      </w:r>
      <w:r w:rsidRPr="005768FE">
        <w:rPr>
          <w:rFonts w:ascii="Times New Roman" w:hAnsi="Times New Roman" w:cs="Times New Roman"/>
          <w:b/>
          <w:sz w:val="24"/>
        </w:rPr>
        <w:t xml:space="preserve">                                                                                </w:t>
      </w:r>
      <w:r w:rsidR="005768FE" w:rsidRPr="005768FE">
        <w:rPr>
          <w:rFonts w:ascii="Times New Roman" w:hAnsi="Times New Roman" w:cs="Times New Roman"/>
          <w:b/>
          <w:sz w:val="24"/>
          <w:u w:val="single"/>
        </w:rPr>
        <w:t>AMMAR- UL-HAQ</w:t>
      </w:r>
      <w:r w:rsidR="005768FE">
        <w:rPr>
          <w:rFonts w:ascii="Times New Roman" w:hAnsi="Times New Roman" w:cs="Times New Roman"/>
          <w:b/>
          <w:sz w:val="24"/>
        </w:rPr>
        <w:t xml:space="preserve">                                  </w:t>
      </w:r>
      <w:r w:rsidRPr="002A5E0B">
        <w:rPr>
          <w:rFonts w:ascii="Times New Roman" w:hAnsi="Times New Roman" w:cs="Times New Roman"/>
          <w:sz w:val="24"/>
        </w:rPr>
        <w:t xml:space="preserve">Signature of Chief Executive      </w:t>
      </w:r>
      <w:r>
        <w:rPr>
          <w:rFonts w:ascii="Times New Roman" w:hAnsi="Times New Roman" w:cs="Times New Roman"/>
          <w:sz w:val="24"/>
        </w:rPr>
        <w:t xml:space="preserve">                                                           </w:t>
      </w:r>
      <w:r w:rsidR="00082112">
        <w:rPr>
          <w:rFonts w:ascii="Times New Roman" w:hAnsi="Times New Roman" w:cs="Times New Roman"/>
          <w:sz w:val="24"/>
        </w:rPr>
        <w:t xml:space="preserve">        </w:t>
      </w:r>
      <w:r>
        <w:rPr>
          <w:rFonts w:ascii="Times New Roman" w:hAnsi="Times New Roman" w:cs="Times New Roman"/>
          <w:sz w:val="24"/>
        </w:rPr>
        <w:t xml:space="preserve">  Signature of Director </w:t>
      </w:r>
    </w:p>
    <w:p w:rsidR="00C1138B" w:rsidRDefault="00C1138B" w:rsidP="00C1138B">
      <w:pPr>
        <w:jc w:val="both"/>
        <w:rPr>
          <w:rFonts w:ascii="Times New Roman" w:hAnsi="Times New Roman" w:cs="Times New Roman"/>
          <w:sz w:val="24"/>
        </w:rPr>
      </w:pPr>
    </w:p>
    <w:p w:rsidR="00C1138B" w:rsidRDefault="00C1138B" w:rsidP="00C1138B">
      <w:pPr>
        <w:jc w:val="both"/>
        <w:rPr>
          <w:rFonts w:ascii="Times New Roman" w:hAnsi="Times New Roman" w:cs="Times New Roman"/>
          <w:sz w:val="24"/>
        </w:rPr>
      </w:pPr>
    </w:p>
    <w:p w:rsidR="00146A3D" w:rsidRDefault="00146A3D" w:rsidP="00C1138B">
      <w:pPr>
        <w:jc w:val="both"/>
        <w:rPr>
          <w:rFonts w:ascii="Times New Roman" w:hAnsi="Times New Roman" w:cs="Times New Roman"/>
          <w:sz w:val="24"/>
        </w:rPr>
      </w:pPr>
    </w:p>
    <w:p w:rsidR="00C1138B" w:rsidRPr="005768FE" w:rsidRDefault="005768FE" w:rsidP="00C1138B">
      <w:pPr>
        <w:pStyle w:val="NoSpacing"/>
        <w:rPr>
          <w:rFonts w:ascii="Times New Roman" w:hAnsi="Times New Roman" w:cs="Times New Roman"/>
          <w:b/>
          <w:u w:val="single"/>
        </w:rPr>
      </w:pPr>
      <w:r w:rsidRPr="005768FE">
        <w:rPr>
          <w:rFonts w:ascii="Times New Roman" w:hAnsi="Times New Roman" w:cs="Times New Roman"/>
          <w:b/>
          <w:u w:val="single"/>
        </w:rPr>
        <w:t xml:space="preserve">NIKKASH JAVED MALIK </w:t>
      </w:r>
    </w:p>
    <w:p w:rsidR="00C1138B" w:rsidRPr="001E6790" w:rsidRDefault="00C1138B" w:rsidP="00C1138B">
      <w:pPr>
        <w:pStyle w:val="NoSpacing"/>
        <w:rPr>
          <w:rFonts w:ascii="Times New Roman" w:hAnsi="Times New Roman" w:cs="Times New Roman"/>
          <w:b/>
        </w:rPr>
      </w:pPr>
      <w:r w:rsidRPr="001E6790">
        <w:rPr>
          <w:rFonts w:ascii="Times New Roman" w:hAnsi="Times New Roman" w:cs="Times New Roman"/>
          <w:b/>
        </w:rPr>
        <w:t>(Company Secretary)</w:t>
      </w:r>
    </w:p>
    <w:p w:rsidR="00F54F1C" w:rsidRDefault="00C1138B" w:rsidP="00C1138B">
      <w:pPr>
        <w:jc w:val="both"/>
        <w:rPr>
          <w:rFonts w:ascii="Times New Roman" w:hAnsi="Times New Roman" w:cs="Times New Roman"/>
          <w:sz w:val="24"/>
        </w:rPr>
      </w:pPr>
      <w:r>
        <w:rPr>
          <w:rFonts w:ascii="Times New Roman" w:hAnsi="Times New Roman" w:cs="Times New Roman"/>
          <w:sz w:val="24"/>
        </w:rPr>
        <w:t xml:space="preserve"> </w:t>
      </w:r>
      <w:r w:rsidRPr="002A5E0B">
        <w:rPr>
          <w:rFonts w:ascii="Times New Roman" w:hAnsi="Times New Roman" w:cs="Times New Roman"/>
          <w:sz w:val="24"/>
        </w:rPr>
        <w:t xml:space="preserve">                                                                                  </w:t>
      </w:r>
    </w:p>
    <w:p w:rsidR="00F54F1C" w:rsidRDefault="00F54F1C" w:rsidP="00C1138B">
      <w:pPr>
        <w:jc w:val="both"/>
        <w:rPr>
          <w:rFonts w:ascii="Times New Roman" w:hAnsi="Times New Roman" w:cs="Times New Roman"/>
          <w:sz w:val="24"/>
        </w:rPr>
      </w:pPr>
    </w:p>
    <w:p w:rsidR="00F54F1C" w:rsidRDefault="00F54F1C" w:rsidP="00C1138B">
      <w:pPr>
        <w:jc w:val="both"/>
        <w:rPr>
          <w:rFonts w:ascii="Times New Roman" w:hAnsi="Times New Roman" w:cs="Times New Roman"/>
          <w:sz w:val="24"/>
        </w:rPr>
      </w:pPr>
    </w:p>
    <w:p w:rsidR="00C1138B" w:rsidRPr="002A5E0B" w:rsidRDefault="00C1138B" w:rsidP="00C1138B">
      <w:pPr>
        <w:jc w:val="both"/>
        <w:rPr>
          <w:rFonts w:ascii="Times New Roman" w:hAnsi="Times New Roman" w:cs="Times New Roman"/>
          <w:sz w:val="24"/>
        </w:rPr>
      </w:pPr>
      <w:r w:rsidRPr="002A5E0B">
        <w:rPr>
          <w:rFonts w:ascii="Times New Roman" w:hAnsi="Times New Roman" w:cs="Times New Roman"/>
          <w:sz w:val="24"/>
        </w:rPr>
        <w:t xml:space="preserve">                                </w:t>
      </w:r>
    </w:p>
    <w:p w:rsidR="00101F03" w:rsidRPr="005F7DB0" w:rsidRDefault="00101F03" w:rsidP="005F7DB0">
      <w:pPr>
        <w:pStyle w:val="Heading2"/>
        <w:shd w:val="clear" w:color="auto" w:fill="FFFFFF"/>
        <w:spacing w:before="374" w:beforeAutospacing="0" w:after="187" w:afterAutospacing="0"/>
        <w:rPr>
          <w:rFonts w:ascii="Raleway" w:hAnsi="Raleway"/>
          <w:color w:val="181818"/>
          <w:sz w:val="26"/>
          <w:szCs w:val="26"/>
          <w:shd w:val="clear" w:color="auto" w:fill="FFFFFF"/>
        </w:rPr>
      </w:pPr>
    </w:p>
    <w:sectPr w:rsidR="00101F03" w:rsidRPr="005F7DB0" w:rsidSect="005609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65C" w:rsidRDefault="001A265C" w:rsidP="00245A2C">
      <w:pPr>
        <w:spacing w:after="0" w:line="240" w:lineRule="auto"/>
      </w:pPr>
      <w:r>
        <w:separator/>
      </w:r>
    </w:p>
  </w:endnote>
  <w:endnote w:type="continuationSeparator" w:id="0">
    <w:p w:rsidR="001A265C" w:rsidRDefault="001A265C" w:rsidP="0024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Ralewa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A2C" w:rsidRPr="00146A3D" w:rsidRDefault="00245A2C" w:rsidP="00146A3D">
    <w:pPr>
      <w:pStyle w:val="Footer"/>
      <w:pBdr>
        <w:top w:val="thinThickSmallGap" w:sz="24" w:space="1" w:color="622423" w:themeColor="accent2" w:themeShade="7F"/>
      </w:pBdr>
      <w:jc w:val="center"/>
      <w:rPr>
        <w:rFonts w:asciiTheme="majorHAnsi" w:hAnsiTheme="majorHAnsi"/>
        <w:color w:val="C00000"/>
        <w:sz w:val="18"/>
      </w:rPr>
    </w:pPr>
    <w:r w:rsidRPr="00146A3D">
      <w:rPr>
        <w:rFonts w:asciiTheme="majorHAnsi" w:hAnsiTheme="majorHAnsi"/>
        <w:color w:val="C00000"/>
        <w:sz w:val="18"/>
      </w:rPr>
      <w:t xml:space="preserve">Head </w:t>
    </w:r>
    <w:r w:rsidR="00146A3D" w:rsidRPr="00146A3D">
      <w:rPr>
        <w:rFonts w:asciiTheme="majorHAnsi" w:hAnsiTheme="majorHAnsi"/>
        <w:color w:val="C00000"/>
        <w:sz w:val="18"/>
      </w:rPr>
      <w:t>Office: Room</w:t>
    </w:r>
    <w:r w:rsidRPr="00146A3D">
      <w:rPr>
        <w:rFonts w:asciiTheme="majorHAnsi" w:hAnsiTheme="majorHAnsi"/>
        <w:color w:val="C00000"/>
        <w:sz w:val="18"/>
      </w:rPr>
      <w:t xml:space="preserve"> No</w:t>
    </w:r>
    <w:r w:rsidR="00146A3D" w:rsidRPr="00146A3D">
      <w:rPr>
        <w:rFonts w:asciiTheme="majorHAnsi" w:hAnsiTheme="majorHAnsi"/>
        <w:color w:val="C00000"/>
        <w:sz w:val="18"/>
      </w:rPr>
      <w:t>, 405</w:t>
    </w:r>
    <w:r w:rsidRPr="00146A3D">
      <w:rPr>
        <w:rFonts w:asciiTheme="majorHAnsi" w:hAnsiTheme="majorHAnsi"/>
        <w:color w:val="C00000"/>
        <w:sz w:val="18"/>
      </w:rPr>
      <w:t>/407 LSE Plaza 19-Khayaban-e-Aiwan-e Iqbal Road Lahore.</w:t>
    </w:r>
  </w:p>
  <w:p w:rsidR="00146A3D" w:rsidRPr="00146A3D" w:rsidRDefault="00245A2C" w:rsidP="00146A3D">
    <w:pPr>
      <w:pStyle w:val="Footer"/>
      <w:pBdr>
        <w:top w:val="thinThickSmallGap" w:sz="24" w:space="1" w:color="622423" w:themeColor="accent2" w:themeShade="7F"/>
      </w:pBdr>
      <w:jc w:val="center"/>
      <w:rPr>
        <w:rFonts w:asciiTheme="majorHAnsi" w:hAnsiTheme="majorHAnsi"/>
        <w:color w:val="C00000"/>
        <w:sz w:val="18"/>
      </w:rPr>
    </w:pPr>
    <w:r w:rsidRPr="00146A3D">
      <w:rPr>
        <w:rFonts w:asciiTheme="majorHAnsi" w:hAnsiTheme="majorHAnsi"/>
        <w:color w:val="C00000"/>
        <w:sz w:val="18"/>
      </w:rPr>
      <w:t>Telephone</w:t>
    </w:r>
    <w:r w:rsidR="00146A3D" w:rsidRPr="00146A3D">
      <w:rPr>
        <w:rFonts w:asciiTheme="majorHAnsi" w:hAnsiTheme="majorHAnsi"/>
        <w:color w:val="C00000"/>
        <w:sz w:val="18"/>
      </w:rPr>
      <w:t>: +92-(042) 36314710</w:t>
    </w:r>
    <w:r w:rsidRPr="00146A3D">
      <w:rPr>
        <w:rFonts w:asciiTheme="majorHAnsi" w:hAnsiTheme="majorHAnsi"/>
        <w:color w:val="C00000"/>
        <w:sz w:val="18"/>
      </w:rPr>
      <w:t>-11</w:t>
    </w:r>
    <w:r w:rsidR="00146A3D" w:rsidRPr="00146A3D">
      <w:rPr>
        <w:rFonts w:asciiTheme="majorHAnsi" w:hAnsiTheme="majorHAnsi"/>
        <w:color w:val="C00000"/>
        <w:sz w:val="18"/>
      </w:rPr>
      <w:t>, 36362010,36368896,36368827,36361264,</w:t>
    </w:r>
  </w:p>
  <w:p w:rsidR="00146A3D" w:rsidRPr="00146A3D" w:rsidRDefault="00146A3D" w:rsidP="00146A3D">
    <w:pPr>
      <w:pStyle w:val="Footer"/>
      <w:pBdr>
        <w:top w:val="thinThickSmallGap" w:sz="24" w:space="1" w:color="622423" w:themeColor="accent2" w:themeShade="7F"/>
      </w:pBdr>
      <w:jc w:val="center"/>
      <w:rPr>
        <w:rFonts w:asciiTheme="majorHAnsi" w:hAnsiTheme="majorHAnsi"/>
        <w:color w:val="C00000"/>
        <w:sz w:val="18"/>
      </w:rPr>
    </w:pPr>
    <w:r w:rsidRPr="00146A3D">
      <w:rPr>
        <w:rFonts w:asciiTheme="majorHAnsi" w:hAnsiTheme="majorHAnsi"/>
        <w:color w:val="C00000"/>
        <w:sz w:val="18"/>
      </w:rPr>
      <w:t>Web:www.alhaqsecurities.com,Eamil:alhaqsecurities@yahoo.com</w:t>
    </w:r>
  </w:p>
  <w:p w:rsidR="00245A2C" w:rsidRPr="00146A3D" w:rsidRDefault="00146A3D" w:rsidP="00146A3D">
    <w:pPr>
      <w:pStyle w:val="Footer"/>
      <w:pBdr>
        <w:top w:val="thinThickSmallGap" w:sz="24" w:space="1" w:color="622423" w:themeColor="accent2" w:themeShade="7F"/>
      </w:pBdr>
      <w:jc w:val="center"/>
      <w:rPr>
        <w:rFonts w:asciiTheme="majorHAnsi" w:hAnsiTheme="majorHAnsi"/>
        <w:sz w:val="18"/>
      </w:rPr>
    </w:pPr>
    <w:r w:rsidRPr="00146A3D">
      <w:rPr>
        <w:rFonts w:asciiTheme="majorHAnsi" w:hAnsiTheme="majorHAnsi"/>
        <w:color w:val="C00000"/>
        <w:sz w:val="18"/>
      </w:rPr>
      <w:t xml:space="preserve">                                   Branch Office: New Steel Market G.T Road Gujranwala .Telephone:+92-(055)3846611-12</w:t>
    </w:r>
    <w:r w:rsidR="00245A2C" w:rsidRPr="00146A3D">
      <w:rPr>
        <w:rFonts w:asciiTheme="majorHAnsi" w:hAnsiTheme="majorHAnsi"/>
        <w:color w:val="C00000"/>
        <w:sz w:val="18"/>
      </w:rPr>
      <w:ptab w:relativeTo="margin" w:alignment="right" w:leader="none"/>
    </w:r>
    <w:r w:rsidR="00245A2C" w:rsidRPr="00146A3D">
      <w:rPr>
        <w:rFonts w:asciiTheme="majorHAnsi" w:hAnsiTheme="majorHAnsi"/>
        <w:color w:val="C00000"/>
        <w:sz w:val="18"/>
      </w:rPr>
      <w:t>Page</w:t>
    </w:r>
    <w:r w:rsidR="00245A2C" w:rsidRPr="00146A3D">
      <w:rPr>
        <w:rFonts w:asciiTheme="majorHAnsi" w:hAnsiTheme="majorHAnsi"/>
        <w:sz w:val="18"/>
      </w:rPr>
      <w:t xml:space="preserve"> </w:t>
    </w:r>
    <w:r w:rsidR="00245A2C" w:rsidRPr="00146A3D">
      <w:rPr>
        <w:sz w:val="18"/>
      </w:rPr>
      <w:fldChar w:fldCharType="begin"/>
    </w:r>
    <w:r w:rsidR="00245A2C" w:rsidRPr="00146A3D">
      <w:rPr>
        <w:sz w:val="18"/>
      </w:rPr>
      <w:instrText xml:space="preserve"> PAGE   \* MERGEFORMAT </w:instrText>
    </w:r>
    <w:r w:rsidR="00245A2C" w:rsidRPr="00146A3D">
      <w:rPr>
        <w:sz w:val="18"/>
      </w:rPr>
      <w:fldChar w:fldCharType="separate"/>
    </w:r>
    <w:r w:rsidR="00576C7A" w:rsidRPr="00576C7A">
      <w:rPr>
        <w:rFonts w:asciiTheme="majorHAnsi" w:hAnsiTheme="majorHAnsi"/>
        <w:noProof/>
        <w:sz w:val="18"/>
      </w:rPr>
      <w:t>1</w:t>
    </w:r>
    <w:r w:rsidR="00245A2C" w:rsidRPr="00146A3D">
      <w:rPr>
        <w:sz w:val="18"/>
      </w:rPr>
      <w:fldChar w:fldCharType="end"/>
    </w:r>
  </w:p>
  <w:p w:rsidR="00245A2C" w:rsidRPr="00146A3D" w:rsidRDefault="00245A2C" w:rsidP="00146A3D">
    <w:pPr>
      <w:pStyle w:val="Footer"/>
      <w:jc w:val="center"/>
      <w:rPr>
        <w:sz w:val="18"/>
      </w:rPr>
    </w:pPr>
  </w:p>
  <w:p w:rsidR="00146A3D" w:rsidRDefault="00146A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65C" w:rsidRDefault="001A265C" w:rsidP="00245A2C">
      <w:pPr>
        <w:spacing w:after="0" w:line="240" w:lineRule="auto"/>
      </w:pPr>
      <w:r>
        <w:separator/>
      </w:r>
    </w:p>
  </w:footnote>
  <w:footnote w:type="continuationSeparator" w:id="0">
    <w:p w:rsidR="001A265C" w:rsidRDefault="001A265C" w:rsidP="00245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color w:val="0070C0"/>
        <w:sz w:val="32"/>
        <w:szCs w:val="32"/>
      </w:rPr>
      <w:alias w:val="Title"/>
      <w:id w:val="77738743"/>
      <w:placeholder>
        <w:docPart w:val="4C70E7C4F95D4C8E806417E3913074A3"/>
      </w:placeholder>
      <w:dataBinding w:prefixMappings="xmlns:ns0='http://schemas.openxmlformats.org/package/2006/metadata/core-properties' xmlns:ns1='http://purl.org/dc/elements/1.1/'" w:xpath="/ns0:coreProperties[1]/ns1:title[1]" w:storeItemID="{6C3C8BC8-F283-45AE-878A-BAB7291924A1}"/>
      <w:text/>
    </w:sdtPr>
    <w:sdtEndPr/>
    <w:sdtContent>
      <w:p w:rsidR="00245A2C" w:rsidRDefault="001A034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color w:val="0070C0"/>
            <w:sz w:val="32"/>
            <w:szCs w:val="32"/>
          </w:rPr>
          <w:t>AL-HAQ Securities (Pvt.) Limited.                                                                                                            TRE Certificate Holder of Pakistan Stock Exchange Limited.</w:t>
        </w:r>
      </w:p>
    </w:sdtContent>
  </w:sdt>
  <w:p w:rsidR="00245A2C" w:rsidRDefault="00245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D65FB"/>
    <w:multiLevelType w:val="hybridMultilevel"/>
    <w:tmpl w:val="6A7E039E"/>
    <w:lvl w:ilvl="0" w:tplc="7D0A70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03"/>
    <w:rsid w:val="00082112"/>
    <w:rsid w:val="00101F03"/>
    <w:rsid w:val="00146A3D"/>
    <w:rsid w:val="001A0346"/>
    <w:rsid w:val="001A265C"/>
    <w:rsid w:val="00245A2C"/>
    <w:rsid w:val="00463A79"/>
    <w:rsid w:val="00546D41"/>
    <w:rsid w:val="0056090B"/>
    <w:rsid w:val="005768FE"/>
    <w:rsid w:val="00576C7A"/>
    <w:rsid w:val="005F7DB0"/>
    <w:rsid w:val="006F1AA5"/>
    <w:rsid w:val="00AF48F9"/>
    <w:rsid w:val="00C1138B"/>
    <w:rsid w:val="00F5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C229E-110B-401D-8A3C-E0503919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0B"/>
  </w:style>
  <w:style w:type="paragraph" w:styleId="Heading2">
    <w:name w:val="heading 2"/>
    <w:basedOn w:val="Normal"/>
    <w:link w:val="Heading2Char"/>
    <w:uiPriority w:val="9"/>
    <w:qFormat/>
    <w:rsid w:val="00101F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1F0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0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1F03"/>
    <w:rPr>
      <w:b/>
      <w:bCs/>
    </w:rPr>
  </w:style>
  <w:style w:type="paragraph" w:styleId="NoSpacing">
    <w:name w:val="No Spacing"/>
    <w:uiPriority w:val="1"/>
    <w:qFormat/>
    <w:rsid w:val="00C1138B"/>
    <w:pPr>
      <w:spacing w:after="0" w:line="240" w:lineRule="auto"/>
    </w:pPr>
    <w:rPr>
      <w:rFonts w:eastAsiaTheme="minorEastAsia"/>
    </w:rPr>
  </w:style>
  <w:style w:type="paragraph" w:styleId="Header">
    <w:name w:val="header"/>
    <w:basedOn w:val="Normal"/>
    <w:link w:val="HeaderChar"/>
    <w:uiPriority w:val="99"/>
    <w:unhideWhenUsed/>
    <w:rsid w:val="00245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A2C"/>
  </w:style>
  <w:style w:type="paragraph" w:styleId="Footer">
    <w:name w:val="footer"/>
    <w:basedOn w:val="Normal"/>
    <w:link w:val="FooterChar"/>
    <w:uiPriority w:val="99"/>
    <w:unhideWhenUsed/>
    <w:rsid w:val="00245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A2C"/>
  </w:style>
  <w:style w:type="paragraph" w:styleId="BalloonText">
    <w:name w:val="Balloon Text"/>
    <w:basedOn w:val="Normal"/>
    <w:link w:val="BalloonTextChar"/>
    <w:uiPriority w:val="99"/>
    <w:semiHidden/>
    <w:unhideWhenUsed/>
    <w:rsid w:val="0024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3536">
      <w:bodyDiv w:val="1"/>
      <w:marLeft w:val="0"/>
      <w:marRight w:val="0"/>
      <w:marTop w:val="0"/>
      <w:marBottom w:val="0"/>
      <w:divBdr>
        <w:top w:val="none" w:sz="0" w:space="0" w:color="auto"/>
        <w:left w:val="none" w:sz="0" w:space="0" w:color="auto"/>
        <w:bottom w:val="none" w:sz="0" w:space="0" w:color="auto"/>
        <w:right w:val="none" w:sz="0" w:space="0" w:color="auto"/>
      </w:divBdr>
      <w:divsChild>
        <w:div w:id="922371861">
          <w:marLeft w:val="0"/>
          <w:marRight w:val="0"/>
          <w:marTop w:val="0"/>
          <w:marBottom w:val="0"/>
          <w:divBdr>
            <w:top w:val="none" w:sz="0" w:space="0" w:color="auto"/>
            <w:left w:val="none" w:sz="0" w:space="0" w:color="auto"/>
            <w:bottom w:val="none" w:sz="0" w:space="0" w:color="auto"/>
            <w:right w:val="none" w:sz="0" w:space="0" w:color="auto"/>
          </w:divBdr>
        </w:div>
      </w:divsChild>
    </w:div>
    <w:div w:id="251007870">
      <w:bodyDiv w:val="1"/>
      <w:marLeft w:val="0"/>
      <w:marRight w:val="0"/>
      <w:marTop w:val="0"/>
      <w:marBottom w:val="0"/>
      <w:divBdr>
        <w:top w:val="none" w:sz="0" w:space="0" w:color="auto"/>
        <w:left w:val="none" w:sz="0" w:space="0" w:color="auto"/>
        <w:bottom w:val="none" w:sz="0" w:space="0" w:color="auto"/>
        <w:right w:val="none" w:sz="0" w:space="0" w:color="auto"/>
      </w:divBdr>
    </w:div>
    <w:div w:id="18235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70E7C4F95D4C8E806417E3913074A3"/>
        <w:category>
          <w:name w:val="General"/>
          <w:gallery w:val="placeholder"/>
        </w:category>
        <w:types>
          <w:type w:val="bbPlcHdr"/>
        </w:types>
        <w:behaviors>
          <w:behavior w:val="content"/>
        </w:behaviors>
        <w:guid w:val="{32079B51-E11F-47BE-8F83-C6848CB92E7A}"/>
      </w:docPartPr>
      <w:docPartBody>
        <w:p w:rsidR="005369A6" w:rsidRDefault="00CC31CF" w:rsidP="00CC31CF">
          <w:pPr>
            <w:pStyle w:val="4C70E7C4F95D4C8E806417E3913074A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Ralewa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C31CF"/>
    <w:rsid w:val="00335BB6"/>
    <w:rsid w:val="00481505"/>
    <w:rsid w:val="005369A6"/>
    <w:rsid w:val="00B04CDE"/>
    <w:rsid w:val="00CC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70E7C4F95D4C8E806417E3913074A3">
    <w:name w:val="4C70E7C4F95D4C8E806417E3913074A3"/>
    <w:rsid w:val="00CC31CF"/>
  </w:style>
  <w:style w:type="paragraph" w:customStyle="1" w:styleId="1420F920248A435BAEF86F53E106A68B">
    <w:name w:val="1420F920248A435BAEF86F53E106A68B"/>
    <w:rsid w:val="00CC3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5D28-C5D8-420E-B372-6E01FF1F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AL-HAQ Securities (Pvt.) Limited.                                                                                                            TRE Certificate Holder of Pakistan Stock Exchange Limited.</vt:lpstr>
    </vt:vector>
  </TitlesOfParts>
  <Company/>
  <LinksUpToDate>false</LinksUpToDate>
  <CharactersWithSpaces>12168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AL-HAQ Securities (Pvt.) Limited.                                                                                                            TRE Certificate Holder of Pakistan Stock Exchange Limited.</dc:title>
  <dc:creator>smz computers</dc:creator>
  <cp:lastModifiedBy>ALHAQ</cp:lastModifiedBy>
  <cp:revision>2</cp:revision>
  <dcterms:created xsi:type="dcterms:W3CDTF">2022-06-02T07:23:00Z</dcterms:created>
  <dcterms:modified xsi:type="dcterms:W3CDTF">2022-06-02T07:23:00Z</dcterms:modified>
</cp:coreProperties>
</file>